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453763" w14:textId="77777777" w:rsidR="00720C39" w:rsidRDefault="00720C39" w:rsidP="00720C39">
      <w:pPr>
        <w:shd w:val="clear" w:color="auto" w:fill="FFFFFF"/>
        <w:rPr>
          <w:rFonts w:eastAsia="Times New Roman"/>
        </w:rPr>
      </w:pPr>
      <w:r w:rsidRPr="009F7388">
        <w:rPr>
          <w:rFonts w:eastAsia="Times New Roman"/>
          <w:noProof/>
        </w:rPr>
        <w:drawing>
          <wp:inline distT="0" distB="0" distL="0" distR="0" wp14:anchorId="3836071D" wp14:editId="0BBBB36A">
            <wp:extent cx="1676400" cy="1257300"/>
            <wp:effectExtent l="0" t="0" r="0" b="0"/>
            <wp:docPr id="1994987226"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987226" name="Picture 1" descr="A blue sign with white text&#10;&#10;Description automatically generated"/>
                    <pic:cNvPicPr/>
                  </pic:nvPicPr>
                  <pic:blipFill>
                    <a:blip r:embed="rId4"/>
                    <a:stretch>
                      <a:fillRect/>
                    </a:stretch>
                  </pic:blipFill>
                  <pic:spPr>
                    <a:xfrm>
                      <a:off x="0" y="0"/>
                      <a:ext cx="1676400" cy="1257300"/>
                    </a:xfrm>
                    <a:prstGeom prst="rect">
                      <a:avLst/>
                    </a:prstGeom>
                  </pic:spPr>
                </pic:pic>
              </a:graphicData>
            </a:graphic>
          </wp:inline>
        </w:drawing>
      </w:r>
      <w:r>
        <w:rPr>
          <w:rFonts w:eastAsia="Times New Roman"/>
          <w:noProof/>
        </w:rPr>
        <w:drawing>
          <wp:inline distT="0" distB="0" distL="0" distR="0" wp14:anchorId="3ADE8EBF" wp14:editId="071719CB">
            <wp:extent cx="274320" cy="274320"/>
            <wp:effectExtent l="0" t="0" r="1143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inline>
        </w:drawing>
      </w:r>
    </w:p>
    <w:p w14:paraId="7B6AD5F6" w14:textId="77777777" w:rsidR="00720C39" w:rsidRDefault="00720C39" w:rsidP="00720C39">
      <w:pPr>
        <w:shd w:val="clear" w:color="auto" w:fill="FFFFFF"/>
        <w:spacing w:before="100" w:beforeAutospacing="1" w:after="100" w:afterAutospacing="1"/>
        <w:jc w:val="center"/>
        <w:outlineLvl w:val="1"/>
        <w:rPr>
          <w:rFonts w:ascii="Inter" w:eastAsia="Times New Roman" w:hAnsi="Inter"/>
          <w:b/>
          <w:bCs/>
          <w:color w:val="333333"/>
          <w:kern w:val="36"/>
          <w:sz w:val="30"/>
          <w:szCs w:val="30"/>
        </w:rPr>
      </w:pPr>
      <w:r>
        <w:rPr>
          <w:rFonts w:ascii="Inter" w:eastAsia="Times New Roman" w:hAnsi="Inter"/>
          <w:b/>
          <w:bCs/>
          <w:color w:val="333333"/>
          <w:kern w:val="36"/>
          <w:sz w:val="30"/>
          <w:szCs w:val="30"/>
        </w:rPr>
        <w:t>Carbon Reduction Plan</w:t>
      </w:r>
    </w:p>
    <w:p w14:paraId="4C9F2817" w14:textId="77777777" w:rsidR="00720C39" w:rsidRDefault="00720C39" w:rsidP="00720C39">
      <w:pPr>
        <w:shd w:val="clear" w:color="auto" w:fill="FFFFFF"/>
        <w:spacing w:before="100" w:beforeAutospacing="1" w:line="390" w:lineRule="atLeast"/>
        <w:rPr>
          <w:rFonts w:ascii="Inter" w:hAnsi="Inter"/>
          <w:color w:val="555555"/>
          <w:sz w:val="23"/>
          <w:szCs w:val="23"/>
        </w:rPr>
      </w:pPr>
      <w:r>
        <w:rPr>
          <w:rFonts w:ascii="Inter" w:hAnsi="Inter"/>
          <w:color w:val="555555"/>
          <w:sz w:val="23"/>
          <w:szCs w:val="23"/>
        </w:rPr>
        <w:t xml:space="preserve">Supplier Name: </w:t>
      </w:r>
      <w:r>
        <w:rPr>
          <w:rFonts w:ascii="Inter" w:hAnsi="Inter"/>
          <w:b/>
          <w:bCs/>
          <w:color w:val="555555"/>
          <w:sz w:val="23"/>
          <w:szCs w:val="23"/>
        </w:rPr>
        <w:t>Pattinson and Milburn Training Ltd</w:t>
      </w:r>
    </w:p>
    <w:p w14:paraId="10D1DF96" w14:textId="77777777" w:rsidR="00720C39" w:rsidRDefault="00720C39" w:rsidP="00720C39">
      <w:pPr>
        <w:shd w:val="clear" w:color="auto" w:fill="FFFFFF"/>
        <w:spacing w:before="100" w:beforeAutospacing="1" w:line="390" w:lineRule="atLeast"/>
        <w:rPr>
          <w:rFonts w:ascii="Inter" w:hAnsi="Inter"/>
          <w:color w:val="555555"/>
          <w:sz w:val="23"/>
          <w:szCs w:val="23"/>
        </w:rPr>
      </w:pPr>
      <w:r>
        <w:rPr>
          <w:rFonts w:ascii="Inter" w:hAnsi="Inter"/>
          <w:color w:val="555555"/>
          <w:sz w:val="23"/>
          <w:szCs w:val="23"/>
        </w:rPr>
        <w:t xml:space="preserve">Publication Date: </w:t>
      </w:r>
    </w:p>
    <w:p w14:paraId="5E7B402D" w14:textId="77777777" w:rsidR="00720C39" w:rsidRDefault="00720C39" w:rsidP="00720C39">
      <w:pPr>
        <w:pStyle w:val="headings1"/>
        <w:shd w:val="clear" w:color="auto" w:fill="FFFFFF"/>
      </w:pPr>
      <w:r>
        <w:t>Commitment to achieving Net Zero.</w:t>
      </w:r>
    </w:p>
    <w:p w14:paraId="3959F183" w14:textId="77777777" w:rsidR="00720C39" w:rsidRDefault="00720C39" w:rsidP="00720C39">
      <w:pPr>
        <w:shd w:val="clear" w:color="auto" w:fill="FFFFFF"/>
        <w:spacing w:before="100" w:beforeAutospacing="1" w:after="100" w:afterAutospacing="1" w:line="240" w:lineRule="atLeast"/>
        <w:rPr>
          <w:rFonts w:ascii="Inter" w:hAnsi="Inter"/>
          <w:color w:val="333333"/>
          <w:sz w:val="23"/>
          <w:szCs w:val="23"/>
        </w:rPr>
      </w:pPr>
      <w:r>
        <w:rPr>
          <w:rStyle w:val="orangefont1"/>
          <w:rFonts w:ascii="Inter" w:hAnsi="Inter"/>
          <w:b/>
          <w:bCs/>
          <w:sz w:val="23"/>
          <w:szCs w:val="23"/>
        </w:rPr>
        <w:t>Pattinson and Milburn Training Ltd</w:t>
      </w:r>
      <w:r>
        <w:rPr>
          <w:rFonts w:ascii="Inter" w:hAnsi="Inter"/>
          <w:color w:val="333333"/>
          <w:sz w:val="23"/>
          <w:szCs w:val="23"/>
        </w:rPr>
        <w:t xml:space="preserve"> is committed to achieving Net Zero emissions by </w:t>
      </w:r>
      <w:r>
        <w:rPr>
          <w:rStyle w:val="orangefont1"/>
          <w:rFonts w:ascii="Inter" w:hAnsi="Inter"/>
          <w:b/>
          <w:bCs/>
          <w:sz w:val="23"/>
          <w:szCs w:val="23"/>
        </w:rPr>
        <w:t>2040</w:t>
      </w:r>
    </w:p>
    <w:p w14:paraId="4A930F66" w14:textId="77777777" w:rsidR="00720C39" w:rsidRDefault="00720C39" w:rsidP="00720C39">
      <w:pPr>
        <w:pStyle w:val="headings"/>
        <w:shd w:val="clear" w:color="auto" w:fill="FFFFFF"/>
      </w:pPr>
      <w:r>
        <w:t>Baseline Emission Footprint</w:t>
      </w:r>
    </w:p>
    <w:p w14:paraId="06C2899C"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Baseline emissions are a record of the greenhouse gases that have been produced in the past and were produced prior to the introduction of any strategies to reduce emissions. Baseline emissions are the reference point against which emissions reduction can be measured.</w:t>
      </w:r>
    </w:p>
    <w:p w14:paraId="7025D912" w14:textId="77777777" w:rsidR="00720C39" w:rsidRDefault="00720C39" w:rsidP="00720C39">
      <w:pPr>
        <w:pStyle w:val="orangefont2"/>
        <w:shd w:val="clear" w:color="auto" w:fill="FFFFFF"/>
      </w:pPr>
      <w:r>
        <w:t>Baseline Year: 2024</w:t>
      </w:r>
      <w:r>
        <w:rPr>
          <w:rStyle w:val="basereportingperiod"/>
        </w:rPr>
        <w:t xml:space="preserve"> (02/04/2023 - 31/03/2024)</w:t>
      </w:r>
    </w:p>
    <w:p w14:paraId="7705789A" w14:textId="77777777" w:rsidR="00720C39" w:rsidRDefault="00720C39" w:rsidP="00720C39">
      <w:pPr>
        <w:pStyle w:val="headings2"/>
        <w:shd w:val="clear" w:color="auto" w:fill="FFFFFF"/>
      </w:pPr>
      <w:r>
        <w:t xml:space="preserve">Additional Details relating to the Baseline Emissions calculations </w:t>
      </w:r>
    </w:p>
    <w:p w14:paraId="27F0AFE5" w14:textId="77777777" w:rsidR="00720C39" w:rsidRDefault="00720C39" w:rsidP="00720C39">
      <w:pPr>
        <w:pStyle w:val="textareatopara1"/>
        <w:shd w:val="clear" w:color="auto" w:fill="FFFFFF"/>
      </w:pPr>
      <w:r>
        <w:t>NA</w:t>
      </w:r>
    </w:p>
    <w:p w14:paraId="5798B916" w14:textId="77777777" w:rsidR="00720C39" w:rsidRDefault="00720C39" w:rsidP="00720C39">
      <w:pPr>
        <w:shd w:val="clear" w:color="auto" w:fill="FFFFFF"/>
        <w:spacing w:before="100" w:beforeAutospacing="1" w:after="100" w:afterAutospacing="1" w:line="240" w:lineRule="atLeast"/>
        <w:rPr>
          <w:rFonts w:ascii="Inter" w:hAnsi="Inter"/>
          <w:b/>
          <w:bCs/>
          <w:color w:val="2E0A4A"/>
          <w:sz w:val="23"/>
          <w:szCs w:val="23"/>
        </w:rPr>
      </w:pPr>
      <w:r>
        <w:rPr>
          <w:rFonts w:ascii="Inter" w:hAnsi="Inter"/>
          <w:b/>
          <w:bCs/>
          <w:color w:val="2E0A4A"/>
          <w:sz w:val="23"/>
          <w:szCs w:val="23"/>
        </w:rPr>
        <w:t>Baseline Year Emission</w:t>
      </w:r>
    </w:p>
    <w:tbl>
      <w:tblPr>
        <w:tblW w:w="5000" w:type="pct"/>
        <w:tblCellMar>
          <w:top w:w="15" w:type="dxa"/>
          <w:left w:w="15" w:type="dxa"/>
          <w:bottom w:w="15" w:type="dxa"/>
          <w:right w:w="15" w:type="dxa"/>
        </w:tblCellMar>
        <w:tblLook w:val="04A0" w:firstRow="1" w:lastRow="0" w:firstColumn="1" w:lastColumn="0" w:noHBand="0" w:noVBand="1"/>
      </w:tblPr>
      <w:tblGrid>
        <w:gridCol w:w="2047"/>
        <w:gridCol w:w="3889"/>
        <w:gridCol w:w="3074"/>
      </w:tblGrid>
      <w:tr w:rsidR="00720C39" w14:paraId="680524E0" w14:textId="77777777" w:rsidTr="00BB7860">
        <w:trPr>
          <w:tblHeader/>
        </w:trPr>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901531E"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Emissions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2DE5C5F"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Category</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78A8461"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Total (tCO</w:t>
            </w:r>
            <w:r>
              <w:rPr>
                <w:rFonts w:eastAsia="Times New Roman"/>
                <w:b/>
                <w:bCs/>
                <w:color w:val="888888"/>
                <w:sz w:val="20"/>
                <w:szCs w:val="20"/>
                <w:vertAlign w:val="subscript"/>
              </w:rPr>
              <w:t>2</w:t>
            </w:r>
            <w:r>
              <w:rPr>
                <w:rFonts w:eastAsia="Times New Roman"/>
                <w:b/>
                <w:bCs/>
                <w:color w:val="888888"/>
                <w:sz w:val="20"/>
                <w:szCs w:val="20"/>
              </w:rPr>
              <w:t>e)</w:t>
            </w:r>
          </w:p>
        </w:tc>
      </w:tr>
      <w:tr w:rsidR="00720C39" w14:paraId="2645C8CD"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8648296"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2F28CD5"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E11A724"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0.34</w:t>
            </w:r>
          </w:p>
        </w:tc>
      </w:tr>
      <w:tr w:rsidR="00720C39" w14:paraId="49B1FB75"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E352734"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2</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82DE1B7"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338EB91"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0.22</w:t>
            </w:r>
          </w:p>
        </w:tc>
      </w:tr>
      <w:tr w:rsidR="00720C39" w14:paraId="34AF66BA"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C0892EA"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3 (Included Sources)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FF90BEC"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Upstream Transportation and Distribution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04B52AD"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N/A</w:t>
            </w:r>
          </w:p>
        </w:tc>
      </w:tr>
      <w:tr w:rsidR="00720C39" w14:paraId="35091FC0"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804CA08"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AC77449"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Business Travel</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0C51D7D"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0.67</w:t>
            </w:r>
          </w:p>
        </w:tc>
      </w:tr>
      <w:tr w:rsidR="00720C39" w14:paraId="04829455"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A13CC56"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492D2F0"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Employee Commuting</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B316E8"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1.83</w:t>
            </w:r>
          </w:p>
        </w:tc>
      </w:tr>
      <w:tr w:rsidR="00720C39" w14:paraId="25CEBEA2"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0813063"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729FF96"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Downstream Transportation and Distribution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13EEB1E"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N/A</w:t>
            </w:r>
          </w:p>
        </w:tc>
      </w:tr>
      <w:tr w:rsidR="00720C39" w14:paraId="19F2C0F3"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7741370"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B1A6737"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Waste generated in operations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EF64CF3"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0.01</w:t>
            </w:r>
          </w:p>
        </w:tc>
      </w:tr>
      <w:tr w:rsidR="00720C39" w14:paraId="252B5FB1"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0E0E65F"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EF297EA"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3 Subtotal</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BAB7D5"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2.51</w:t>
            </w:r>
          </w:p>
        </w:tc>
      </w:tr>
      <w:tr w:rsidR="00720C39" w14:paraId="225B9B66"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C02BFB4"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Total Emissions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0810AEB"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18CD1DB"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3.06</w:t>
            </w:r>
          </w:p>
        </w:tc>
      </w:tr>
      <w:tr w:rsidR="00720C39" w14:paraId="604E6ABB" w14:textId="77777777" w:rsidTr="00BB7860">
        <w:tblPrEx>
          <w:tblCellSpacing w:w="15" w:type="dxa"/>
        </w:tblPrEx>
        <w:trPr>
          <w:tblCellSpacing w:w="15" w:type="dxa"/>
        </w:trPr>
        <w:tc>
          <w:tcPr>
            <w:tcW w:w="0" w:type="auto"/>
            <w:tcBorders>
              <w:top w:val="nil"/>
              <w:left w:val="nil"/>
              <w:bottom w:val="nil"/>
              <w:right w:val="nil"/>
            </w:tcBorders>
            <w:tcMar>
              <w:top w:w="120" w:type="dxa"/>
              <w:left w:w="120" w:type="dxa"/>
              <w:bottom w:w="120" w:type="dxa"/>
              <w:right w:w="120" w:type="dxa"/>
            </w:tcMar>
            <w:vAlign w:val="center"/>
            <w:hideMark/>
          </w:tcPr>
          <w:p w14:paraId="2F654D8E" w14:textId="77777777" w:rsidR="00720C39" w:rsidRDefault="00720C39" w:rsidP="00BB7860">
            <w:pPr>
              <w:rPr>
                <w:rFonts w:eastAsia="Times New Roman"/>
                <w:b/>
                <w:bCs/>
                <w:color w:val="333333"/>
                <w:sz w:val="20"/>
                <w:szCs w:val="20"/>
              </w:rPr>
            </w:pPr>
            <w:r>
              <w:rPr>
                <w:rFonts w:eastAsia="Times New Roman"/>
                <w:b/>
                <w:bCs/>
                <w:color w:val="333333"/>
                <w:sz w:val="20"/>
                <w:szCs w:val="20"/>
              </w:rPr>
              <w:t>Scope 3</w:t>
            </w:r>
          </w:p>
        </w:tc>
        <w:tc>
          <w:tcPr>
            <w:tcW w:w="0" w:type="auto"/>
            <w:tcBorders>
              <w:top w:val="nil"/>
              <w:left w:val="nil"/>
              <w:bottom w:val="nil"/>
              <w:right w:val="nil"/>
            </w:tcBorders>
            <w:tcMar>
              <w:top w:w="120" w:type="dxa"/>
              <w:left w:w="120" w:type="dxa"/>
              <w:bottom w:w="120" w:type="dxa"/>
              <w:right w:w="120" w:type="dxa"/>
            </w:tcMar>
            <w:vAlign w:val="center"/>
            <w:hideMark/>
          </w:tcPr>
          <w:p w14:paraId="5C5D0E96" w14:textId="77777777" w:rsidR="00720C39" w:rsidRDefault="00720C39" w:rsidP="00BB7860">
            <w:pPr>
              <w:rPr>
                <w:rFonts w:eastAsia="Times New Roman"/>
                <w:b/>
                <w:bCs/>
                <w:color w:val="333333"/>
                <w:sz w:val="20"/>
                <w:szCs w:val="20"/>
              </w:rPr>
            </w:pPr>
            <w:r>
              <w:rPr>
                <w:rFonts w:eastAsia="Times New Roman"/>
                <w:b/>
                <w:bCs/>
                <w:color w:val="333333"/>
                <w:sz w:val="20"/>
                <w:szCs w:val="20"/>
              </w:rPr>
              <w:t>Category 4- Upstream transportation and distribution</w:t>
            </w:r>
          </w:p>
        </w:tc>
        <w:tc>
          <w:tcPr>
            <w:tcW w:w="0" w:type="auto"/>
            <w:tcBorders>
              <w:top w:val="nil"/>
              <w:left w:val="nil"/>
              <w:bottom w:val="nil"/>
              <w:right w:val="nil"/>
            </w:tcBorders>
            <w:tcMar>
              <w:top w:w="120" w:type="dxa"/>
              <w:left w:w="120" w:type="dxa"/>
              <w:bottom w:w="120" w:type="dxa"/>
              <w:right w:w="120" w:type="dxa"/>
            </w:tcMar>
            <w:vAlign w:val="center"/>
            <w:hideMark/>
          </w:tcPr>
          <w:p w14:paraId="79056DB3" w14:textId="77777777" w:rsidR="00720C39" w:rsidRDefault="00720C39" w:rsidP="00BB7860">
            <w:pPr>
              <w:rPr>
                <w:rFonts w:eastAsia="Times New Roman"/>
                <w:b/>
                <w:bCs/>
                <w:color w:val="333333"/>
                <w:sz w:val="20"/>
                <w:szCs w:val="20"/>
              </w:rPr>
            </w:pPr>
            <w:r>
              <w:rPr>
                <w:rFonts w:eastAsia="Times New Roman"/>
                <w:b/>
                <w:bCs/>
                <w:color w:val="333333"/>
                <w:sz w:val="20"/>
                <w:szCs w:val="20"/>
              </w:rPr>
              <w:t>No goods are transported to the company</w:t>
            </w:r>
          </w:p>
        </w:tc>
      </w:tr>
      <w:tr w:rsidR="00720C39" w14:paraId="7981E4AF" w14:textId="77777777" w:rsidTr="00BB7860">
        <w:tblPrEx>
          <w:tblCellSpacing w:w="15" w:type="dxa"/>
        </w:tblPrEx>
        <w:trPr>
          <w:tblCellSpacing w:w="15" w:type="dxa"/>
        </w:trPr>
        <w:tc>
          <w:tcPr>
            <w:tcW w:w="0" w:type="auto"/>
            <w:tcBorders>
              <w:top w:val="nil"/>
              <w:left w:val="nil"/>
              <w:bottom w:val="nil"/>
              <w:right w:val="nil"/>
            </w:tcBorders>
            <w:tcMar>
              <w:top w:w="120" w:type="dxa"/>
              <w:left w:w="120" w:type="dxa"/>
              <w:bottom w:w="120" w:type="dxa"/>
              <w:right w:w="120" w:type="dxa"/>
            </w:tcMar>
            <w:vAlign w:val="center"/>
            <w:hideMark/>
          </w:tcPr>
          <w:p w14:paraId="3B6167C4" w14:textId="77777777" w:rsidR="00720C39" w:rsidRDefault="00720C39" w:rsidP="00BB7860">
            <w:pPr>
              <w:rPr>
                <w:rFonts w:eastAsia="Times New Roman"/>
                <w:b/>
                <w:bCs/>
                <w:color w:val="333333"/>
                <w:sz w:val="20"/>
                <w:szCs w:val="20"/>
              </w:rPr>
            </w:pPr>
          </w:p>
        </w:tc>
        <w:tc>
          <w:tcPr>
            <w:tcW w:w="0" w:type="auto"/>
            <w:tcBorders>
              <w:top w:val="nil"/>
              <w:left w:val="nil"/>
              <w:bottom w:val="nil"/>
              <w:right w:val="nil"/>
            </w:tcBorders>
            <w:tcMar>
              <w:top w:w="120" w:type="dxa"/>
              <w:left w:w="120" w:type="dxa"/>
              <w:bottom w:w="120" w:type="dxa"/>
              <w:right w:w="120" w:type="dxa"/>
            </w:tcMar>
            <w:vAlign w:val="center"/>
            <w:hideMark/>
          </w:tcPr>
          <w:p w14:paraId="22D6B042" w14:textId="77777777" w:rsidR="00720C39" w:rsidRDefault="00720C39" w:rsidP="00BB7860">
            <w:pPr>
              <w:rPr>
                <w:rFonts w:eastAsia="Times New Roman"/>
                <w:b/>
                <w:bCs/>
                <w:color w:val="333333"/>
                <w:sz w:val="20"/>
                <w:szCs w:val="20"/>
              </w:rPr>
            </w:pPr>
            <w:r>
              <w:rPr>
                <w:rFonts w:eastAsia="Times New Roman"/>
                <w:b/>
                <w:bCs/>
                <w:color w:val="333333"/>
                <w:sz w:val="20"/>
                <w:szCs w:val="20"/>
              </w:rPr>
              <w:t>Category 9- Downstream transportation and distribution</w:t>
            </w:r>
          </w:p>
        </w:tc>
        <w:tc>
          <w:tcPr>
            <w:tcW w:w="0" w:type="auto"/>
            <w:tcBorders>
              <w:top w:val="nil"/>
              <w:left w:val="nil"/>
              <w:bottom w:val="nil"/>
              <w:right w:val="nil"/>
            </w:tcBorders>
            <w:tcMar>
              <w:top w:w="120" w:type="dxa"/>
              <w:left w:w="120" w:type="dxa"/>
              <w:bottom w:w="120" w:type="dxa"/>
              <w:right w:w="120" w:type="dxa"/>
            </w:tcMar>
            <w:vAlign w:val="center"/>
            <w:hideMark/>
          </w:tcPr>
          <w:p w14:paraId="21349697" w14:textId="77777777" w:rsidR="00720C39" w:rsidRDefault="00720C39" w:rsidP="00BB7860">
            <w:pPr>
              <w:rPr>
                <w:rFonts w:eastAsia="Times New Roman"/>
                <w:b/>
                <w:bCs/>
                <w:color w:val="333333"/>
                <w:sz w:val="20"/>
                <w:szCs w:val="20"/>
              </w:rPr>
            </w:pPr>
            <w:r>
              <w:rPr>
                <w:rFonts w:eastAsia="Times New Roman"/>
                <w:b/>
                <w:bCs/>
                <w:color w:val="333333"/>
                <w:sz w:val="20"/>
                <w:szCs w:val="20"/>
              </w:rPr>
              <w:t>No goods are transported from the company</w:t>
            </w:r>
          </w:p>
        </w:tc>
      </w:tr>
    </w:tbl>
    <w:p w14:paraId="072F18DF" w14:textId="77777777" w:rsidR="00720C39" w:rsidRDefault="00720C39" w:rsidP="00720C39">
      <w:pPr>
        <w:pStyle w:val="headings"/>
        <w:shd w:val="clear" w:color="auto" w:fill="FFFFFF"/>
      </w:pPr>
      <w:r>
        <w:t>Current Emissions Reporting</w:t>
      </w:r>
    </w:p>
    <w:p w14:paraId="34D9C9E7" w14:textId="77777777" w:rsidR="00720C39" w:rsidRDefault="00720C39" w:rsidP="00720C39">
      <w:pPr>
        <w:pStyle w:val="NormalWeb"/>
        <w:shd w:val="clear" w:color="auto" w:fill="FFFFFF"/>
        <w:spacing w:line="345" w:lineRule="atLeast"/>
        <w:rPr>
          <w:rFonts w:ascii="Inter" w:hAnsi="Inter"/>
          <w:color w:val="333333"/>
          <w:sz w:val="23"/>
          <w:szCs w:val="23"/>
        </w:rPr>
      </w:pPr>
      <w:r>
        <w:rPr>
          <w:rFonts w:ascii="Inter" w:hAnsi="Inter"/>
          <w:color w:val="333333"/>
          <w:sz w:val="23"/>
          <w:szCs w:val="23"/>
        </w:rPr>
        <w:t>As this is the first reporting year, no further emissions can be reported at this time.</w:t>
      </w:r>
    </w:p>
    <w:p w14:paraId="222360D0" w14:textId="77777777" w:rsidR="00720C39" w:rsidRDefault="00720C39" w:rsidP="00720C39">
      <w:pPr>
        <w:shd w:val="clear" w:color="auto" w:fill="FFFFFF"/>
        <w:spacing w:before="100" w:beforeAutospacing="1" w:after="100" w:afterAutospacing="1" w:line="240" w:lineRule="atLeast"/>
        <w:rPr>
          <w:rFonts w:ascii="Inter" w:hAnsi="Inter"/>
          <w:b/>
          <w:bCs/>
          <w:vanish/>
          <w:color w:val="2E0A4A"/>
          <w:sz w:val="23"/>
          <w:szCs w:val="23"/>
        </w:rPr>
      </w:pPr>
      <w:r>
        <w:rPr>
          <w:rFonts w:ascii="Inter" w:hAnsi="Inter"/>
          <w:b/>
          <w:bCs/>
          <w:vanish/>
          <w:color w:val="2E0A4A"/>
          <w:sz w:val="23"/>
          <w:szCs w:val="23"/>
        </w:rPr>
        <w:t>Current Emissions Reporting</w:t>
      </w:r>
    </w:p>
    <w:p w14:paraId="4245C063" w14:textId="77777777" w:rsidR="00720C39" w:rsidRDefault="00720C39" w:rsidP="00720C39">
      <w:pPr>
        <w:pStyle w:val="orangefont3"/>
        <w:shd w:val="clear" w:color="auto" w:fill="FFFFFF"/>
        <w:rPr>
          <w:vanish/>
        </w:rPr>
      </w:pPr>
      <w:r>
        <w:rPr>
          <w:vanish/>
        </w:rPr>
        <w:t>Reporting Year: 2024 ( 01/04/2023 - 01/04/2024)</w:t>
      </w:r>
    </w:p>
    <w:tbl>
      <w:tblPr>
        <w:tblW w:w="5000" w:type="pct"/>
        <w:tblCellMar>
          <w:top w:w="15" w:type="dxa"/>
          <w:left w:w="15" w:type="dxa"/>
          <w:bottom w:w="15" w:type="dxa"/>
          <w:right w:w="15" w:type="dxa"/>
        </w:tblCellMar>
        <w:tblLook w:val="04A0" w:firstRow="1" w:lastRow="0" w:firstColumn="1" w:lastColumn="0" w:noHBand="0" w:noVBand="1"/>
      </w:tblPr>
      <w:tblGrid>
        <w:gridCol w:w="3581"/>
        <w:gridCol w:w="2300"/>
        <w:gridCol w:w="3129"/>
      </w:tblGrid>
      <w:tr w:rsidR="00720C39" w14:paraId="18B17082" w14:textId="77777777" w:rsidTr="00BB7860">
        <w:trPr>
          <w:tblHeader/>
        </w:trPr>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F271FB"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Emissions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80B5FC2"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Category</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7656A72" w14:textId="77777777" w:rsidR="00720C39" w:rsidRDefault="00720C39" w:rsidP="00BB7860">
            <w:pPr>
              <w:spacing w:after="360"/>
              <w:rPr>
                <w:rFonts w:eastAsia="Times New Roman"/>
                <w:b/>
                <w:bCs/>
                <w:color w:val="888888"/>
                <w:sz w:val="20"/>
                <w:szCs w:val="20"/>
              </w:rPr>
            </w:pPr>
            <w:r>
              <w:rPr>
                <w:rFonts w:eastAsia="Times New Roman"/>
                <w:b/>
                <w:bCs/>
                <w:color w:val="888888"/>
                <w:sz w:val="20"/>
                <w:szCs w:val="20"/>
              </w:rPr>
              <w:t>Total (tCO</w:t>
            </w:r>
            <w:r>
              <w:rPr>
                <w:rFonts w:eastAsia="Times New Roman"/>
                <w:b/>
                <w:bCs/>
                <w:color w:val="888888"/>
                <w:sz w:val="20"/>
                <w:szCs w:val="20"/>
                <w:vertAlign w:val="subscript"/>
              </w:rPr>
              <w:t>2</w:t>
            </w:r>
            <w:r>
              <w:rPr>
                <w:rFonts w:eastAsia="Times New Roman"/>
                <w:b/>
                <w:bCs/>
                <w:color w:val="888888"/>
                <w:sz w:val="20"/>
                <w:szCs w:val="20"/>
              </w:rPr>
              <w:t>e)</w:t>
            </w:r>
          </w:p>
        </w:tc>
      </w:tr>
      <w:tr w:rsidR="00720C39" w14:paraId="4C1A8213"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A35DD93"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825301"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5B717D8"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0.34</w:t>
            </w:r>
          </w:p>
        </w:tc>
      </w:tr>
      <w:tr w:rsidR="00720C39" w14:paraId="7829DC52"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FCED1E"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Scope 2</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521660D"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D54C582"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0.22</w:t>
            </w:r>
          </w:p>
        </w:tc>
      </w:tr>
      <w:tr w:rsidR="00720C39" w14:paraId="1B0F7B7B" w14:textId="77777777" w:rsidTr="00BB7860">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8F63CA8"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Total Emissions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981F770" w14:textId="77777777" w:rsidR="00720C39" w:rsidRDefault="00720C39" w:rsidP="00BB7860">
            <w:pPr>
              <w:spacing w:after="360"/>
              <w:rPr>
                <w:rFonts w:eastAsia="Times New Roman"/>
                <w:b/>
                <w:bCs/>
                <w:color w:val="333333"/>
                <w:sz w:val="20"/>
                <w:szCs w:val="20"/>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9FE47A6" w14:textId="77777777" w:rsidR="00720C39" w:rsidRDefault="00720C39" w:rsidP="00BB7860">
            <w:pPr>
              <w:spacing w:after="360"/>
              <w:rPr>
                <w:rFonts w:eastAsia="Times New Roman"/>
                <w:b/>
                <w:bCs/>
                <w:color w:val="333333"/>
                <w:sz w:val="20"/>
                <w:szCs w:val="20"/>
              </w:rPr>
            </w:pPr>
            <w:r>
              <w:rPr>
                <w:rFonts w:eastAsia="Times New Roman"/>
                <w:b/>
                <w:bCs/>
                <w:color w:val="333333"/>
                <w:sz w:val="20"/>
                <w:szCs w:val="20"/>
              </w:rPr>
              <w:t>3.06</w:t>
            </w:r>
          </w:p>
        </w:tc>
      </w:tr>
      <w:tr w:rsidR="00720C39" w14:paraId="08700C08" w14:textId="77777777" w:rsidTr="00BB7860">
        <w:tblPrEx>
          <w:tblCellSpacing w:w="15" w:type="dxa"/>
          <w:tblCellMar>
            <w:top w:w="120" w:type="dxa"/>
            <w:left w:w="120" w:type="dxa"/>
            <w:bottom w:w="120" w:type="dxa"/>
            <w:right w:w="120" w:type="dxa"/>
          </w:tblCellMar>
        </w:tblPrEx>
        <w:trPr>
          <w:gridAfter w:val="2"/>
          <w:tblCellSpacing w:w="15" w:type="dxa"/>
          <w:hidden/>
        </w:trPr>
        <w:tc>
          <w:tcPr>
            <w:tcW w:w="0" w:type="auto"/>
            <w:tcBorders>
              <w:top w:val="single" w:sz="6" w:space="0" w:color="DDDDDD"/>
              <w:left w:val="single" w:sz="6" w:space="0" w:color="DDDDDD"/>
              <w:bottom w:val="single" w:sz="6" w:space="0" w:color="DDDDDD"/>
              <w:right w:val="single" w:sz="6" w:space="0" w:color="DDDDDD"/>
            </w:tcBorders>
            <w:tcMar>
              <w:top w:w="15" w:type="dxa"/>
              <w:left w:w="15" w:type="dxa"/>
              <w:bottom w:w="15" w:type="dxa"/>
              <w:right w:w="15" w:type="dxa"/>
            </w:tcMar>
            <w:vAlign w:val="center"/>
            <w:hideMark/>
          </w:tcPr>
          <w:p w14:paraId="3C00DECC" w14:textId="77777777" w:rsidR="00720C39" w:rsidRDefault="00720C39" w:rsidP="00BB7860">
            <w:pPr>
              <w:shd w:val="clear" w:color="auto" w:fill="FFFFFF"/>
              <w:rPr>
                <w:rFonts w:eastAsia="Times New Roman"/>
                <w:b/>
                <w:bCs/>
                <w:vanish/>
              </w:rPr>
            </w:pPr>
          </w:p>
        </w:tc>
      </w:tr>
    </w:tbl>
    <w:p w14:paraId="4D8A532A" w14:textId="77777777" w:rsidR="00720C39" w:rsidRDefault="00720C39" w:rsidP="00720C39">
      <w:pPr>
        <w:pStyle w:val="headings3"/>
        <w:shd w:val="clear" w:color="auto" w:fill="FFFFFF"/>
      </w:pPr>
      <w:r>
        <w:t>Emissions Reduction Targets</w:t>
      </w:r>
    </w:p>
    <w:p w14:paraId="4EA55E4E"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proofErr w:type="gramStart"/>
      <w:r>
        <w:rPr>
          <w:rFonts w:ascii="Inter" w:hAnsi="Inter"/>
          <w:color w:val="333333"/>
          <w:sz w:val="23"/>
          <w:szCs w:val="23"/>
        </w:rPr>
        <w:t>In order to</w:t>
      </w:r>
      <w:proofErr w:type="gramEnd"/>
      <w:r>
        <w:rPr>
          <w:rFonts w:ascii="Inter" w:hAnsi="Inter"/>
          <w:color w:val="333333"/>
          <w:sz w:val="23"/>
          <w:szCs w:val="23"/>
        </w:rPr>
        <w:t xml:space="preserve"> continue our progress to achieving Net Zero, we have adopted the following carbon reduction targets. </w:t>
      </w:r>
    </w:p>
    <w:p w14:paraId="391FAD54"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We project that carbon emissions will decrease to 2.42 tCO</w:t>
      </w:r>
      <w:r>
        <w:rPr>
          <w:rFonts w:ascii="Inter" w:hAnsi="Inter"/>
          <w:color w:val="333333"/>
          <w:sz w:val="23"/>
          <w:szCs w:val="23"/>
          <w:vertAlign w:val="subscript"/>
        </w:rPr>
        <w:t>2</w:t>
      </w:r>
      <w:r>
        <w:rPr>
          <w:rFonts w:ascii="Inter" w:hAnsi="Inter"/>
          <w:color w:val="333333"/>
          <w:sz w:val="23"/>
          <w:szCs w:val="23"/>
        </w:rPr>
        <w:t>e by 2029. This is a reduction of 21.00%.</w:t>
      </w:r>
    </w:p>
    <w:p w14:paraId="0F4944F0"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Progress against our Net Zero target can be seen in the graph below:</w:t>
      </w:r>
    </w:p>
    <w:p w14:paraId="08E6615D" w14:textId="77777777" w:rsidR="00720C39" w:rsidRDefault="00720C39" w:rsidP="00720C39">
      <w:pPr>
        <w:shd w:val="clear" w:color="auto" w:fill="FFFFFF"/>
        <w:rPr>
          <w:rFonts w:eastAsia="Times New Roman"/>
          <w:b/>
          <w:bCs/>
        </w:rPr>
      </w:pPr>
      <w:r>
        <w:rPr>
          <w:rFonts w:eastAsia="Times New Roman"/>
          <w:b/>
          <w:bCs/>
          <w:noProof/>
        </w:rPr>
        <w:drawing>
          <wp:inline distT="0" distB="0" distL="0" distR="0" wp14:anchorId="1C454382" wp14:editId="4B299152">
            <wp:extent cx="5760720" cy="2834640"/>
            <wp:effectExtent l="0" t="0" r="0" b="0"/>
            <wp:docPr id="2" name="Picture 2" descr="A graph with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aph with blue dot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834640"/>
                    </a:xfrm>
                    <a:prstGeom prst="rect">
                      <a:avLst/>
                    </a:prstGeom>
                    <a:noFill/>
                    <a:ln>
                      <a:noFill/>
                    </a:ln>
                  </pic:spPr>
                </pic:pic>
              </a:graphicData>
            </a:graphic>
          </wp:inline>
        </w:drawing>
      </w:r>
    </w:p>
    <w:p w14:paraId="0931ECC7" w14:textId="77777777" w:rsidR="00720C39" w:rsidRDefault="00720C39" w:rsidP="00720C39">
      <w:pPr>
        <w:shd w:val="clear" w:color="auto" w:fill="FFFFFF"/>
        <w:spacing w:before="100" w:beforeAutospacing="1" w:after="100" w:afterAutospacing="1" w:line="345" w:lineRule="atLeast"/>
        <w:rPr>
          <w:rFonts w:ascii="Inter" w:hAnsi="Inter"/>
          <w:vanish/>
          <w:color w:val="333333"/>
          <w:sz w:val="23"/>
          <w:szCs w:val="23"/>
        </w:rPr>
      </w:pPr>
      <w:r>
        <w:rPr>
          <w:rFonts w:ascii="Inter" w:hAnsi="Inter"/>
          <w:vanish/>
          <w:color w:val="333333"/>
          <w:sz w:val="23"/>
          <w:szCs w:val="23"/>
        </w:rPr>
        <w:t>No data available</w:t>
      </w:r>
    </w:p>
    <w:p w14:paraId="5B55466A" w14:textId="77777777" w:rsidR="00720C39" w:rsidRDefault="00720C39" w:rsidP="00720C39">
      <w:pPr>
        <w:pStyle w:val="headings4"/>
        <w:shd w:val="clear" w:color="auto" w:fill="FFFFFF"/>
      </w:pPr>
      <w:r>
        <w:t xml:space="preserve">Carbon Reduction: Projected Vs. Actual </w:t>
      </w:r>
    </w:p>
    <w:p w14:paraId="717B2C38" w14:textId="77777777" w:rsidR="00720C39" w:rsidRDefault="00720C39" w:rsidP="00720C39">
      <w:pPr>
        <w:pStyle w:val="headings4"/>
        <w:shd w:val="clear" w:color="auto" w:fill="FFFFFF"/>
      </w:pPr>
      <w:r>
        <w:t>Carbon Reduction Projects</w:t>
      </w:r>
    </w:p>
    <w:p w14:paraId="1D5C46C6" w14:textId="77777777" w:rsidR="00720C39" w:rsidRDefault="00720C39" w:rsidP="00720C39">
      <w:pPr>
        <w:shd w:val="clear" w:color="auto" w:fill="FFFFFF"/>
        <w:spacing w:before="100" w:beforeAutospacing="1" w:after="100" w:afterAutospacing="1" w:line="345" w:lineRule="atLeast"/>
        <w:rPr>
          <w:rFonts w:ascii="Inter" w:hAnsi="Inter"/>
          <w:vanish/>
          <w:color w:val="333333"/>
          <w:sz w:val="23"/>
          <w:szCs w:val="23"/>
        </w:rPr>
      </w:pPr>
      <w:r>
        <w:rPr>
          <w:rFonts w:ascii="Inter" w:hAnsi="Inter"/>
          <w:vanish/>
          <w:color w:val="333333"/>
          <w:sz w:val="23"/>
          <w:szCs w:val="23"/>
        </w:rPr>
        <w:t>Completed Carbon Reduction Initiatives</w:t>
      </w:r>
    </w:p>
    <w:p w14:paraId="7813D917" w14:textId="77777777" w:rsidR="00720C39" w:rsidRDefault="00720C39" w:rsidP="00720C39">
      <w:pPr>
        <w:shd w:val="clear" w:color="auto" w:fill="FFFFFF"/>
        <w:spacing w:before="100" w:beforeAutospacing="1" w:after="100" w:afterAutospacing="1" w:line="345" w:lineRule="atLeast"/>
        <w:rPr>
          <w:rFonts w:ascii="Inter" w:hAnsi="Inter"/>
          <w:vanish/>
          <w:color w:val="333333"/>
          <w:sz w:val="23"/>
          <w:szCs w:val="23"/>
        </w:rPr>
      </w:pPr>
      <w:r>
        <w:rPr>
          <w:rFonts w:ascii="Inter" w:hAnsi="Inter"/>
          <w:vanish/>
          <w:color w:val="333333"/>
          <w:sz w:val="23"/>
          <w:szCs w:val="23"/>
        </w:rPr>
        <w:t xml:space="preserve">The following environmental management measures and projects have been completed or implemented since the 2024 baseline. The carbon emission reduction achieved by these schemes equate to </w:t>
      </w:r>
      <w:r>
        <w:rPr>
          <w:rStyle w:val="deviatedval"/>
          <w:rFonts w:ascii="Inter" w:hAnsi="Inter"/>
          <w:vanish/>
          <w:color w:val="333333"/>
          <w:sz w:val="23"/>
          <w:szCs w:val="23"/>
        </w:rPr>
        <w:t>0.31</w:t>
      </w:r>
      <w:r>
        <w:rPr>
          <w:rFonts w:ascii="Inter" w:hAnsi="Inter"/>
          <w:vanish/>
          <w:color w:val="333333"/>
          <w:sz w:val="23"/>
          <w:szCs w:val="23"/>
        </w:rPr>
        <w:t xml:space="preserve"> tCO</w:t>
      </w:r>
      <w:r>
        <w:rPr>
          <w:rFonts w:ascii="Inter" w:hAnsi="Inter"/>
          <w:vanish/>
          <w:color w:val="333333"/>
          <w:sz w:val="23"/>
          <w:szCs w:val="23"/>
          <w:vertAlign w:val="subscript"/>
        </w:rPr>
        <w:t>2</w:t>
      </w:r>
      <w:r>
        <w:rPr>
          <w:rFonts w:ascii="Inter" w:hAnsi="Inter"/>
          <w:vanish/>
          <w:color w:val="333333"/>
          <w:sz w:val="23"/>
          <w:szCs w:val="23"/>
        </w:rPr>
        <w:t xml:space="preserve">e, a </w:t>
      </w:r>
      <w:r>
        <w:rPr>
          <w:rStyle w:val="deviatedpercent"/>
          <w:rFonts w:ascii="Inter" w:hAnsi="Inter"/>
          <w:vanish/>
          <w:color w:val="333333"/>
          <w:sz w:val="23"/>
          <w:szCs w:val="23"/>
        </w:rPr>
        <w:t>90.00</w:t>
      </w:r>
      <w:r>
        <w:rPr>
          <w:rFonts w:ascii="Inter" w:hAnsi="Inter"/>
          <w:vanish/>
          <w:color w:val="333333"/>
          <w:sz w:val="23"/>
          <w:szCs w:val="23"/>
        </w:rPr>
        <w:t>% reduction against the 2024 baseline and the measures will be in effect when performing the contract.</w:t>
      </w:r>
    </w:p>
    <w:p w14:paraId="2C7C4C48"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In the future we hope to implement further measures such as:</w:t>
      </w:r>
    </w:p>
    <w:p w14:paraId="378722A0" w14:textId="77777777" w:rsidR="00720C39" w:rsidRDefault="00720C39" w:rsidP="00720C39">
      <w:pPr>
        <w:pStyle w:val="textareatopara2"/>
        <w:shd w:val="clear" w:color="auto" w:fill="FFFFFF"/>
      </w:pPr>
      <w:r>
        <w:t>1. LED lighting upgrade - This will achieve a reduction in Scope 2 emissions and will be implemented within the next 12 months. 2. Zero waste to landfill policy - This will achieve a reduction in Scope 3 emissions and will be implemented by the end of 2029. 3. Behavioural change campaign - This will achieve a reduction in Scope 1, 2 &amp; 3 emissions and will be implemented by the end of 2029. 4. Replace diesel car with EV or hybrid - This will achieve a reduction in Scope 3 emissions and will be implemented by 2029.</w:t>
      </w:r>
    </w:p>
    <w:p w14:paraId="56481E01" w14:textId="77777777" w:rsidR="00720C39" w:rsidRDefault="00720C39" w:rsidP="00720C39">
      <w:pPr>
        <w:pStyle w:val="headings5"/>
        <w:shd w:val="clear" w:color="auto" w:fill="FFFFFF"/>
      </w:pPr>
      <w:r>
        <w:t>Declaration and Sign Off</w:t>
      </w:r>
    </w:p>
    <w:p w14:paraId="27B3E9F3"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This Carbon Reduction Plan has been completed in accordance with PPN 06/21 and associated guidance and reporting standard for Carbon Reduction Plans.</w:t>
      </w:r>
    </w:p>
    <w:p w14:paraId="3C22E419"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Emissions have been reported and recorded in accordance with the published reporting standard for Carbon Reduction Plans and the GHG Reporting Protocol corporate standard</w:t>
      </w:r>
      <w:r>
        <w:rPr>
          <w:rFonts w:ascii="Inter" w:hAnsi="Inter"/>
          <w:color w:val="333333"/>
          <w:sz w:val="23"/>
          <w:szCs w:val="23"/>
          <w:vertAlign w:val="superscript"/>
        </w:rPr>
        <w:t>1</w:t>
      </w:r>
      <w:r>
        <w:rPr>
          <w:rFonts w:ascii="Inter" w:hAnsi="Inter"/>
          <w:color w:val="333333"/>
          <w:sz w:val="23"/>
          <w:szCs w:val="23"/>
        </w:rPr>
        <w:t xml:space="preserve"> and uses the appropriate Government emission conversion factors for greenhouse gas company reporting</w:t>
      </w:r>
      <w:r>
        <w:rPr>
          <w:rFonts w:ascii="Inter" w:hAnsi="Inter"/>
          <w:color w:val="333333"/>
          <w:sz w:val="23"/>
          <w:szCs w:val="23"/>
          <w:vertAlign w:val="superscript"/>
        </w:rPr>
        <w:t>2</w:t>
      </w:r>
      <w:r>
        <w:rPr>
          <w:rFonts w:ascii="Inter" w:hAnsi="Inter"/>
          <w:color w:val="333333"/>
          <w:sz w:val="23"/>
          <w:szCs w:val="23"/>
        </w:rPr>
        <w:t>.</w:t>
      </w:r>
    </w:p>
    <w:p w14:paraId="21955E3D"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Scope 1 and Scope 2 emissions have been reported in accordance with SECR requirements, and the required subset of Scope 3 emissions have been reported in accordance with the published reporting standard for Carbon Reduction Plans and the Corporate Value Chain (Scope 3) Standard</w:t>
      </w:r>
      <w:r>
        <w:rPr>
          <w:rFonts w:ascii="Inter" w:hAnsi="Inter"/>
          <w:color w:val="333333"/>
          <w:sz w:val="23"/>
          <w:szCs w:val="23"/>
          <w:vertAlign w:val="superscript"/>
        </w:rPr>
        <w:t>3</w:t>
      </w:r>
      <w:r>
        <w:rPr>
          <w:rFonts w:ascii="Inter" w:hAnsi="Inter"/>
          <w:color w:val="333333"/>
          <w:sz w:val="23"/>
          <w:szCs w:val="23"/>
        </w:rPr>
        <w:t>.</w:t>
      </w:r>
    </w:p>
    <w:p w14:paraId="7A4D04C0" w14:textId="77777777" w:rsidR="00720C39" w:rsidRDefault="00720C39" w:rsidP="00720C39">
      <w:pPr>
        <w:shd w:val="clear" w:color="auto" w:fill="FFFFFF"/>
        <w:spacing w:before="100" w:beforeAutospacing="1" w:after="100" w:afterAutospacing="1" w:line="345" w:lineRule="atLeast"/>
        <w:rPr>
          <w:rFonts w:ascii="Inter" w:hAnsi="Inter"/>
          <w:color w:val="333333"/>
          <w:sz w:val="23"/>
          <w:szCs w:val="23"/>
        </w:rPr>
      </w:pPr>
      <w:r>
        <w:rPr>
          <w:rFonts w:ascii="Inter" w:hAnsi="Inter"/>
          <w:color w:val="333333"/>
          <w:sz w:val="23"/>
          <w:szCs w:val="23"/>
        </w:rPr>
        <w:t>This Carbon Reduction Plan has been reviewed and signed off by the board of directors (or equivalent management body).</w:t>
      </w:r>
    </w:p>
    <w:p w14:paraId="77BC3B99" w14:textId="77777777" w:rsidR="00720C39" w:rsidRDefault="00720C39" w:rsidP="00720C39">
      <w:pPr>
        <w:pStyle w:val="headings"/>
        <w:shd w:val="clear" w:color="auto" w:fill="FFFFFF"/>
      </w:pPr>
      <w:r>
        <w:t xml:space="preserve">Signed on behalf of the Supplier: </w:t>
      </w:r>
    </w:p>
    <w:p w14:paraId="0AD5EA1D" w14:textId="213CFE0F" w:rsidR="00720C39" w:rsidRPr="00720C39" w:rsidRDefault="00720C39" w:rsidP="00720C39">
      <w:pPr>
        <w:pStyle w:val="NormalWeb"/>
        <w:rPr>
          <w:rFonts w:ascii="Cooper Black" w:hAnsi="Cooper Black"/>
          <w:color w:val="333333"/>
          <w:sz w:val="23"/>
          <w:szCs w:val="23"/>
        </w:rPr>
      </w:pPr>
      <w:r>
        <w:rPr>
          <w:rFonts w:ascii="Inter" w:hAnsi="Inter"/>
          <w:color w:val="333333"/>
          <w:sz w:val="23"/>
          <w:szCs w:val="23"/>
        </w:rPr>
        <w:t>..</w:t>
      </w:r>
      <w:r>
        <w:rPr>
          <w:rFonts w:ascii="Cooper Black" w:hAnsi="Cooper Black"/>
          <w:color w:val="333333"/>
          <w:sz w:val="23"/>
          <w:szCs w:val="23"/>
        </w:rPr>
        <w:t>E.J. Pattinson</w:t>
      </w:r>
    </w:p>
    <w:p w14:paraId="4A832AFE" w14:textId="6B49D74F" w:rsidR="00720C39" w:rsidRDefault="00720C39" w:rsidP="00720C39">
      <w:pPr>
        <w:pStyle w:val="NormalWeb"/>
        <w:rPr>
          <w:rFonts w:ascii="Inter" w:hAnsi="Inter"/>
          <w:color w:val="333333"/>
          <w:sz w:val="23"/>
          <w:szCs w:val="23"/>
        </w:rPr>
      </w:pPr>
      <w:r>
        <w:rPr>
          <w:rFonts w:ascii="Inter" w:hAnsi="Inter"/>
          <w:color w:val="333333"/>
          <w:sz w:val="23"/>
          <w:szCs w:val="23"/>
        </w:rPr>
        <w:t>Date: 01/08/24</w:t>
      </w:r>
    </w:p>
    <w:p w14:paraId="25152B97" w14:textId="77777777" w:rsidR="00720C39" w:rsidRDefault="00720C39" w:rsidP="00720C39">
      <w:pPr>
        <w:shd w:val="clear" w:color="auto" w:fill="FFFFFF"/>
        <w:rPr>
          <w:rFonts w:eastAsia="Times New Roman"/>
          <w:b/>
          <w:bCs/>
          <w:sz w:val="18"/>
          <w:szCs w:val="18"/>
        </w:rPr>
      </w:pPr>
      <w:r>
        <w:rPr>
          <w:rFonts w:eastAsia="Times New Roman"/>
          <w:b/>
          <w:bCs/>
          <w:sz w:val="18"/>
          <w:szCs w:val="18"/>
          <w:vertAlign w:val="superscript"/>
        </w:rPr>
        <w:t>1</w:t>
      </w:r>
      <w:hyperlink r:id="rId7" w:tgtFrame="_blank" w:history="1">
        <w:r>
          <w:rPr>
            <w:rFonts w:eastAsia="Times New Roman"/>
            <w:b/>
            <w:bCs/>
            <w:color w:val="0000FF"/>
            <w:sz w:val="18"/>
            <w:szCs w:val="18"/>
            <w:u w:val="single"/>
          </w:rPr>
          <w:t>https://ghgprotocol.org/corporate-standard</w:t>
        </w:r>
      </w:hyperlink>
      <w:r>
        <w:rPr>
          <w:rFonts w:eastAsia="Times New Roman"/>
          <w:b/>
          <w:bCs/>
          <w:sz w:val="18"/>
          <w:szCs w:val="18"/>
        </w:rPr>
        <w:br/>
      </w:r>
      <w:r>
        <w:rPr>
          <w:rFonts w:eastAsia="Times New Roman"/>
          <w:b/>
          <w:bCs/>
          <w:sz w:val="18"/>
          <w:szCs w:val="18"/>
          <w:vertAlign w:val="superscript"/>
        </w:rPr>
        <w:t>2</w:t>
      </w:r>
      <w:hyperlink r:id="rId8" w:tgtFrame="_blank" w:history="1">
        <w:r>
          <w:rPr>
            <w:rFonts w:eastAsia="Times New Roman"/>
            <w:b/>
            <w:bCs/>
            <w:color w:val="0000FF"/>
            <w:sz w:val="18"/>
            <w:szCs w:val="18"/>
            <w:u w:val="single"/>
          </w:rPr>
          <w:t>https://www.gov.uk/government/collections/government-conversion-factors-for-company-reporting</w:t>
        </w:r>
      </w:hyperlink>
      <w:r>
        <w:rPr>
          <w:rFonts w:eastAsia="Times New Roman"/>
          <w:b/>
          <w:bCs/>
          <w:sz w:val="18"/>
          <w:szCs w:val="18"/>
        </w:rPr>
        <w:br/>
      </w:r>
      <w:r>
        <w:rPr>
          <w:rFonts w:eastAsia="Times New Roman"/>
          <w:b/>
          <w:bCs/>
          <w:sz w:val="18"/>
          <w:szCs w:val="18"/>
          <w:vertAlign w:val="superscript"/>
        </w:rPr>
        <w:t>3</w:t>
      </w:r>
      <w:hyperlink r:id="rId9" w:tgtFrame="_blank" w:history="1">
        <w:r>
          <w:rPr>
            <w:rFonts w:eastAsia="Times New Roman"/>
            <w:b/>
            <w:bCs/>
            <w:color w:val="0000FF"/>
            <w:sz w:val="18"/>
            <w:szCs w:val="18"/>
            <w:u w:val="single"/>
          </w:rPr>
          <w:t>https://ghgprotocol.org/standards/scope-3-standard</w:t>
        </w:r>
      </w:hyperlink>
      <w:r>
        <w:rPr>
          <w:rFonts w:eastAsia="Times New Roman"/>
          <w:b/>
          <w:bCs/>
          <w:sz w:val="18"/>
          <w:szCs w:val="18"/>
        </w:rPr>
        <w:t xml:space="preserve"> </w:t>
      </w:r>
    </w:p>
    <w:p w14:paraId="1218B014" w14:textId="77777777" w:rsidR="00720C39" w:rsidRDefault="00720C39"/>
    <w:sectPr w:rsidR="00720C39" w:rsidSect="00720C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nter">
    <w:altName w:val="Cambria"/>
    <w:panose1 w:val="00000000000000000000"/>
    <w:charset w:val="00"/>
    <w:family w:val="roman"/>
    <w:notTrueType/>
    <w:pitch w:val="default"/>
  </w:font>
  <w:font w:name="Cooper Black">
    <w:panose1 w:val="0208090404030B0204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C39"/>
    <w:rsid w:val="00720C39"/>
    <w:rsid w:val="009E3F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A8D68E"/>
  <w15:chartTrackingRefBased/>
  <w15:docId w15:val="{BB90FCA3-5664-47EC-91FC-A49F38ACE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0C39"/>
    <w:pPr>
      <w:spacing w:after="0" w:line="240" w:lineRule="auto"/>
    </w:pPr>
    <w:rPr>
      <w:rFonts w:ascii="Times New Roman" w:eastAsiaTheme="minorEastAsia" w:hAnsi="Times New Roman" w:cs="Times New Roman"/>
      <w:kern w:val="0"/>
      <w:lang w:eastAsia="en-GB"/>
      <w14:ligatures w14:val="none"/>
    </w:rPr>
  </w:style>
  <w:style w:type="paragraph" w:styleId="Heading1">
    <w:name w:val="heading 1"/>
    <w:basedOn w:val="Normal"/>
    <w:next w:val="Normal"/>
    <w:link w:val="Heading1Char"/>
    <w:uiPriority w:val="9"/>
    <w:qFormat/>
    <w:rsid w:val="00720C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20C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20C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20C3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720C3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720C3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720C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720C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720C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0C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0C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0C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0C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0C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0C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0C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0C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0C39"/>
    <w:rPr>
      <w:rFonts w:eastAsiaTheme="majorEastAsia" w:cstheme="majorBidi"/>
      <w:color w:val="272727" w:themeColor="text1" w:themeTint="D8"/>
    </w:rPr>
  </w:style>
  <w:style w:type="paragraph" w:styleId="Title">
    <w:name w:val="Title"/>
    <w:basedOn w:val="Normal"/>
    <w:next w:val="Normal"/>
    <w:link w:val="TitleChar"/>
    <w:uiPriority w:val="10"/>
    <w:qFormat/>
    <w:rsid w:val="00720C3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20C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0C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20C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0C3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720C39"/>
    <w:rPr>
      <w:i/>
      <w:iCs/>
      <w:color w:val="404040" w:themeColor="text1" w:themeTint="BF"/>
    </w:rPr>
  </w:style>
  <w:style w:type="paragraph" w:styleId="ListParagraph">
    <w:name w:val="List Paragraph"/>
    <w:basedOn w:val="Normal"/>
    <w:uiPriority w:val="34"/>
    <w:qFormat/>
    <w:rsid w:val="00720C3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720C39"/>
    <w:rPr>
      <w:i/>
      <w:iCs/>
      <w:color w:val="0F4761" w:themeColor="accent1" w:themeShade="BF"/>
    </w:rPr>
  </w:style>
  <w:style w:type="paragraph" w:styleId="IntenseQuote">
    <w:name w:val="Intense Quote"/>
    <w:basedOn w:val="Normal"/>
    <w:next w:val="Normal"/>
    <w:link w:val="IntenseQuoteChar"/>
    <w:uiPriority w:val="30"/>
    <w:qFormat/>
    <w:rsid w:val="00720C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720C39"/>
    <w:rPr>
      <w:i/>
      <w:iCs/>
      <w:color w:val="0F4761" w:themeColor="accent1" w:themeShade="BF"/>
    </w:rPr>
  </w:style>
  <w:style w:type="character" w:styleId="IntenseReference">
    <w:name w:val="Intense Reference"/>
    <w:basedOn w:val="DefaultParagraphFont"/>
    <w:uiPriority w:val="32"/>
    <w:qFormat/>
    <w:rsid w:val="00720C39"/>
    <w:rPr>
      <w:b/>
      <w:bCs/>
      <w:smallCaps/>
      <w:color w:val="0F4761" w:themeColor="accent1" w:themeShade="BF"/>
      <w:spacing w:val="5"/>
    </w:rPr>
  </w:style>
  <w:style w:type="paragraph" w:styleId="NormalWeb">
    <w:name w:val="Normal (Web)"/>
    <w:basedOn w:val="Normal"/>
    <w:uiPriority w:val="99"/>
    <w:semiHidden/>
    <w:unhideWhenUsed/>
    <w:rsid w:val="00720C39"/>
    <w:pPr>
      <w:spacing w:before="100" w:beforeAutospacing="1" w:after="100" w:afterAutospacing="1"/>
    </w:pPr>
  </w:style>
  <w:style w:type="paragraph" w:customStyle="1" w:styleId="headings">
    <w:name w:val="headings"/>
    <w:basedOn w:val="Normal"/>
    <w:rsid w:val="00720C39"/>
    <w:pPr>
      <w:spacing w:before="100" w:beforeAutospacing="1" w:after="100" w:afterAutospacing="1" w:line="240" w:lineRule="atLeast"/>
    </w:pPr>
    <w:rPr>
      <w:rFonts w:ascii="Inter" w:hAnsi="Inter"/>
      <w:b/>
      <w:bCs/>
      <w:color w:val="333333"/>
      <w:sz w:val="23"/>
      <w:szCs w:val="23"/>
    </w:rPr>
  </w:style>
  <w:style w:type="paragraph" w:customStyle="1" w:styleId="headings1">
    <w:name w:val="headings1"/>
    <w:basedOn w:val="Normal"/>
    <w:rsid w:val="00720C39"/>
    <w:pPr>
      <w:spacing w:before="100" w:beforeAutospacing="1" w:after="100" w:afterAutospacing="1" w:line="240" w:lineRule="atLeast"/>
    </w:pPr>
    <w:rPr>
      <w:rFonts w:ascii="Inter" w:hAnsi="Inter"/>
      <w:b/>
      <w:bCs/>
      <w:color w:val="333333"/>
      <w:sz w:val="23"/>
      <w:szCs w:val="23"/>
    </w:rPr>
  </w:style>
  <w:style w:type="character" w:customStyle="1" w:styleId="orangefont1">
    <w:name w:val="orangefont1"/>
    <w:basedOn w:val="DefaultParagraphFont"/>
    <w:rsid w:val="00720C39"/>
    <w:rPr>
      <w:color w:val="FE5C05"/>
    </w:rPr>
  </w:style>
  <w:style w:type="paragraph" w:customStyle="1" w:styleId="orangefont2">
    <w:name w:val="orangefont2"/>
    <w:basedOn w:val="Normal"/>
    <w:rsid w:val="00720C39"/>
    <w:pPr>
      <w:spacing w:before="100" w:beforeAutospacing="1" w:after="100" w:afterAutospacing="1" w:line="240" w:lineRule="atLeast"/>
    </w:pPr>
    <w:rPr>
      <w:rFonts w:ascii="Inter" w:hAnsi="Inter"/>
      <w:b/>
      <w:bCs/>
      <w:color w:val="FE5C05"/>
      <w:sz w:val="23"/>
      <w:szCs w:val="23"/>
    </w:rPr>
  </w:style>
  <w:style w:type="character" w:customStyle="1" w:styleId="basereportingperiod">
    <w:name w:val="base_reporting_period"/>
    <w:basedOn w:val="DefaultParagraphFont"/>
    <w:rsid w:val="00720C39"/>
  </w:style>
  <w:style w:type="paragraph" w:customStyle="1" w:styleId="headings2">
    <w:name w:val="headings2"/>
    <w:basedOn w:val="Normal"/>
    <w:rsid w:val="00720C39"/>
    <w:pPr>
      <w:spacing w:before="100" w:beforeAutospacing="1" w:after="100" w:afterAutospacing="1" w:line="240" w:lineRule="atLeast"/>
    </w:pPr>
    <w:rPr>
      <w:rFonts w:ascii="Inter" w:hAnsi="Inter"/>
      <w:b/>
      <w:bCs/>
      <w:color w:val="2E0A4A"/>
      <w:sz w:val="23"/>
      <w:szCs w:val="23"/>
    </w:rPr>
  </w:style>
  <w:style w:type="paragraph" w:customStyle="1" w:styleId="textareatopara1">
    <w:name w:val="textareatopara1"/>
    <w:basedOn w:val="Normal"/>
    <w:rsid w:val="00720C39"/>
    <w:pPr>
      <w:pBdr>
        <w:top w:val="single" w:sz="6" w:space="0" w:color="6C6969"/>
        <w:left w:val="single" w:sz="6" w:space="0" w:color="6C6969"/>
        <w:bottom w:val="single" w:sz="6" w:space="0" w:color="6C6969"/>
        <w:right w:val="single" w:sz="6" w:space="0" w:color="6C6969"/>
      </w:pBdr>
      <w:spacing w:before="100" w:beforeAutospacing="1" w:after="100" w:afterAutospacing="1" w:line="345" w:lineRule="atLeast"/>
    </w:pPr>
    <w:rPr>
      <w:rFonts w:ascii="Inter" w:hAnsi="Inter"/>
      <w:i/>
      <w:iCs/>
      <w:color w:val="333333"/>
      <w:sz w:val="23"/>
      <w:szCs w:val="23"/>
    </w:rPr>
  </w:style>
  <w:style w:type="paragraph" w:customStyle="1" w:styleId="orangefont3">
    <w:name w:val="orangefont3"/>
    <w:basedOn w:val="Normal"/>
    <w:rsid w:val="00720C39"/>
    <w:pPr>
      <w:spacing w:before="100" w:beforeAutospacing="1" w:after="100" w:afterAutospacing="1" w:line="240" w:lineRule="atLeast"/>
    </w:pPr>
    <w:rPr>
      <w:rFonts w:ascii="Inter" w:hAnsi="Inter"/>
      <w:b/>
      <w:bCs/>
      <w:color w:val="FE5C05"/>
      <w:sz w:val="23"/>
      <w:szCs w:val="23"/>
    </w:rPr>
  </w:style>
  <w:style w:type="paragraph" w:customStyle="1" w:styleId="headings3">
    <w:name w:val="headings3"/>
    <w:basedOn w:val="Normal"/>
    <w:rsid w:val="00720C39"/>
    <w:pPr>
      <w:spacing w:before="100" w:beforeAutospacing="1" w:after="100" w:afterAutospacing="1" w:line="345" w:lineRule="atLeast"/>
    </w:pPr>
    <w:rPr>
      <w:rFonts w:ascii="Inter" w:hAnsi="Inter"/>
      <w:b/>
      <w:bCs/>
      <w:color w:val="333333"/>
      <w:sz w:val="23"/>
      <w:szCs w:val="23"/>
    </w:rPr>
  </w:style>
  <w:style w:type="paragraph" w:customStyle="1" w:styleId="headings4">
    <w:name w:val="headings4"/>
    <w:basedOn w:val="Normal"/>
    <w:rsid w:val="00720C39"/>
    <w:pPr>
      <w:spacing w:before="100" w:beforeAutospacing="1" w:after="100" w:afterAutospacing="1" w:line="345" w:lineRule="atLeast"/>
    </w:pPr>
    <w:rPr>
      <w:rFonts w:ascii="Inter" w:hAnsi="Inter"/>
      <w:b/>
      <w:bCs/>
      <w:color w:val="333333"/>
      <w:sz w:val="23"/>
      <w:szCs w:val="23"/>
    </w:rPr>
  </w:style>
  <w:style w:type="character" w:customStyle="1" w:styleId="deviatedval">
    <w:name w:val="deviated_val"/>
    <w:basedOn w:val="DefaultParagraphFont"/>
    <w:rsid w:val="00720C39"/>
  </w:style>
  <w:style w:type="character" w:customStyle="1" w:styleId="deviatedpercent">
    <w:name w:val="deviated_percent"/>
    <w:basedOn w:val="DefaultParagraphFont"/>
    <w:rsid w:val="00720C39"/>
  </w:style>
  <w:style w:type="paragraph" w:customStyle="1" w:styleId="textareatopara2">
    <w:name w:val="textareatopara2"/>
    <w:basedOn w:val="Normal"/>
    <w:rsid w:val="00720C39"/>
    <w:pPr>
      <w:pBdr>
        <w:top w:val="single" w:sz="6" w:space="0" w:color="6C6969"/>
        <w:left w:val="single" w:sz="6" w:space="0" w:color="6C6969"/>
        <w:bottom w:val="single" w:sz="6" w:space="0" w:color="6C6969"/>
        <w:right w:val="single" w:sz="6" w:space="0" w:color="6C6969"/>
      </w:pBdr>
      <w:spacing w:before="100" w:beforeAutospacing="1" w:after="100" w:afterAutospacing="1" w:line="345" w:lineRule="atLeast"/>
    </w:pPr>
    <w:rPr>
      <w:rFonts w:ascii="Inter" w:hAnsi="Inter"/>
      <w:i/>
      <w:iCs/>
      <w:color w:val="333333"/>
      <w:sz w:val="23"/>
      <w:szCs w:val="23"/>
    </w:rPr>
  </w:style>
  <w:style w:type="paragraph" w:customStyle="1" w:styleId="headings5">
    <w:name w:val="headings5"/>
    <w:basedOn w:val="Normal"/>
    <w:rsid w:val="00720C39"/>
    <w:pPr>
      <w:spacing w:before="100" w:beforeAutospacing="1" w:after="100" w:afterAutospacing="1" w:line="345" w:lineRule="atLeast"/>
    </w:pPr>
    <w:rPr>
      <w:rFonts w:ascii="Inter" w:hAnsi="Inter"/>
      <w:b/>
      <w:bCs/>
      <w:color w:val="333333"/>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llections/government-conversion-factors-for-company-reporting" TargetMode="External"/><Relationship Id="rId3" Type="http://schemas.openxmlformats.org/officeDocument/2006/relationships/webSettings" Target="webSettings.xml"/><Relationship Id="rId7" Type="http://schemas.openxmlformats.org/officeDocument/2006/relationships/hyperlink" Target="https://ghgprotocol.org/corporate-standar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https://portal-bringabout.decerna.co.uk/wp-content/uploads/2024/08/b_logos/resized-1722516633_P-and-M.PNG"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ghgprotocol.org/standards/scope-3-stand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621</Words>
  <Characters>3542</Characters>
  <Application>Microsoft Office Word</Application>
  <DocSecurity>0</DocSecurity>
  <Lines>29</Lines>
  <Paragraphs>8</Paragraphs>
  <ScaleCrop>false</ScaleCrop>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Pattinson</dc:creator>
  <cp:keywords/>
  <dc:description/>
  <cp:lastModifiedBy/>
  <cp:revision>1</cp:revision>
  <dcterms:created xsi:type="dcterms:W3CDTF">2024-08-05T11:55:00Z</dcterms:created>
</cp:coreProperties>
</file>